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hd w:val="clear" w:color="auto" w:fill="FFFFFF"/>
        <w:spacing w:after="0" w:line="360" w:lineRule="atLeast"/>
        <w:jc w:val="righ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Утверждаю</w:t>
      </w:r>
    </w:p>
    <w:p>
      <w:pPr>
        <w:shd w:val="clear" w:color="auto" w:fill="FFFFFF"/>
        <w:spacing w:after="0" w:line="360" w:lineRule="atLeast"/>
        <w:jc w:val="righ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Директор Некоммерческой организации микрокредитной компании "Новошахтинский муниципальный фонд поддержки малого предпринимательства"</w:t>
      </w:r>
    </w:p>
    <w:p>
      <w:pPr>
        <w:shd w:val="clear" w:color="auto" w:fill="FFFFFF"/>
        <w:wordWrap w:val="0"/>
        <w:spacing w:after="0" w:line="360" w:lineRule="atLeast"/>
        <w:jc w:val="right"/>
        <w:textAlignment w:val="baseline"/>
        <w:rPr>
          <w:rFonts w:hint="default" w:ascii="Times New Roman" w:hAnsi="Times New Roman" w:eastAsia="Times New Roman" w:cs="Times New Roman"/>
          <w:color w:val="666666"/>
          <w:sz w:val="28"/>
          <w:szCs w:val="28"/>
          <w:lang w:val="en-US" w:eastAsia="ru-RU"/>
        </w:rPr>
      </w:pPr>
      <w:r>
        <w:rPr>
          <w:rFonts w:ascii="Times New Roman" w:hAnsi="Times New Roman" w:eastAsia="Times New Roman" w:cs="Times New Roman"/>
          <w:color w:val="666666"/>
          <w:sz w:val="28"/>
          <w:szCs w:val="28"/>
          <w:lang w:eastAsia="ru-RU"/>
        </w:rPr>
        <w:t>___________________Кузнецова</w:t>
      </w:r>
      <w:r>
        <w:rPr>
          <w:rFonts w:hint="default" w:ascii="Times New Roman" w:hAnsi="Times New Roman" w:eastAsia="Times New Roman" w:cs="Times New Roman"/>
          <w:color w:val="666666"/>
          <w:sz w:val="28"/>
          <w:szCs w:val="28"/>
          <w:lang w:val="en-US" w:eastAsia="ru-RU"/>
        </w:rPr>
        <w:t xml:space="preserve"> Л.В.</w:t>
      </w:r>
    </w:p>
    <w:p>
      <w:pPr>
        <w:shd w:val="clear" w:color="auto" w:fill="FFFFFF"/>
        <w:spacing w:after="0" w:line="360" w:lineRule="atLeast"/>
        <w:jc w:val="right"/>
        <w:textAlignment w:val="baseline"/>
        <w:rPr>
          <w:rFonts w:ascii="Times New Roman" w:hAnsi="Times New Roman" w:eastAsia="Times New Roman" w:cs="Times New Roman"/>
          <w:color w:val="666666"/>
          <w:sz w:val="28"/>
          <w:szCs w:val="28"/>
          <w:lang w:eastAsia="ru-RU"/>
        </w:rPr>
      </w:pPr>
      <w:r>
        <w:rPr>
          <w:rFonts w:hint="default" w:ascii="Times New Roman" w:hAnsi="Times New Roman" w:eastAsia="Times New Roman" w:cs="Times New Roman"/>
          <w:color w:val="666666"/>
          <w:sz w:val="28"/>
          <w:szCs w:val="28"/>
          <w:lang w:val="en-US" w:eastAsia="ru-RU"/>
        </w:rPr>
        <w:t>28</w:t>
      </w:r>
      <w:r>
        <w:rPr>
          <w:rFonts w:ascii="Times New Roman" w:hAnsi="Times New Roman" w:eastAsia="Times New Roman" w:cs="Times New Roman"/>
          <w:color w:val="666666"/>
          <w:sz w:val="28"/>
          <w:szCs w:val="28"/>
          <w:lang w:eastAsia="ru-RU"/>
        </w:rPr>
        <w:t xml:space="preserve"> июля 201</w:t>
      </w:r>
      <w:r>
        <w:rPr>
          <w:rFonts w:hint="default" w:ascii="Times New Roman" w:hAnsi="Times New Roman" w:eastAsia="Times New Roman" w:cs="Times New Roman"/>
          <w:color w:val="666666"/>
          <w:sz w:val="28"/>
          <w:szCs w:val="28"/>
          <w:lang w:val="en-US" w:eastAsia="ru-RU"/>
        </w:rPr>
        <w:t>8</w:t>
      </w:r>
      <w:r>
        <w:rPr>
          <w:rFonts w:ascii="Times New Roman" w:hAnsi="Times New Roman" w:eastAsia="Times New Roman" w:cs="Times New Roman"/>
          <w:color w:val="666666"/>
          <w:sz w:val="28"/>
          <w:szCs w:val="28"/>
          <w:lang w:eastAsia="ru-RU"/>
        </w:rPr>
        <w:t xml:space="preserve"> г.</w:t>
      </w:r>
    </w:p>
    <w:p>
      <w:pPr>
        <w:shd w:val="clear" w:color="auto" w:fill="FFFFFF"/>
        <w:spacing w:after="0"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b/>
          <w:bCs/>
          <w:color w:val="666666"/>
          <w:sz w:val="28"/>
          <w:szCs w:val="28"/>
          <w:lang w:eastAsia="ru-RU"/>
        </w:rPr>
        <w:t xml:space="preserve"> </w:t>
      </w:r>
      <w:r>
        <w:rPr>
          <w:rFonts w:hint="default" w:ascii="Times New Roman" w:hAnsi="Times New Roman" w:eastAsia="Times New Roman" w:cs="Times New Roman"/>
          <w:b/>
          <w:bCs/>
          <w:color w:val="666666"/>
          <w:sz w:val="28"/>
          <w:szCs w:val="28"/>
          <w:lang w:val="en-US" w:eastAsia="ru-RU"/>
        </w:rPr>
        <w:t xml:space="preserve">       </w:t>
      </w:r>
      <w:r>
        <w:rPr>
          <w:rFonts w:ascii="Times New Roman" w:hAnsi="Times New Roman" w:eastAsia="Times New Roman" w:cs="Times New Roman"/>
          <w:b/>
          <w:bCs/>
          <w:color w:val="666666"/>
          <w:sz w:val="28"/>
          <w:szCs w:val="28"/>
          <w:lang w:eastAsia="ru-RU"/>
        </w:rPr>
        <w:t>Положение о взаимодействии с получателями финансовых услуг</w:t>
      </w:r>
    </w:p>
    <w:p>
      <w:pPr>
        <w:shd w:val="clear" w:color="auto" w:fill="FFFFFF"/>
        <w:spacing w:after="225" w:line="360" w:lineRule="atLeast"/>
        <w:jc w:val="both"/>
        <w:textAlignment w:val="baseline"/>
        <w:rPr>
          <w:rFonts w:hint="default" w:ascii="Times New Roman" w:hAnsi="Times New Roman" w:eastAsia="Times New Roman" w:cs="Times New Roman"/>
          <w:color w:val="666666"/>
          <w:sz w:val="28"/>
          <w:szCs w:val="28"/>
          <w:lang w:val="en-US" w:eastAsia="ru-RU"/>
        </w:rPr>
      </w:pPr>
      <w:r>
        <w:rPr>
          <w:rFonts w:ascii="Times New Roman" w:hAnsi="Times New Roman" w:eastAsia="Times New Roman" w:cs="Times New Roman"/>
          <w:b/>
          <w:bCs/>
          <w:color w:val="666666"/>
          <w:sz w:val="28"/>
          <w:szCs w:val="28"/>
          <w:lang w:eastAsia="ru-RU"/>
        </w:rPr>
        <w:t xml:space="preserve">в соответствии с базовым стандартом защиты прав и интересов получателей финансовых услуг, оказываемых </w:t>
      </w:r>
      <w:r>
        <w:rPr>
          <w:rFonts w:ascii="Times New Roman" w:hAnsi="Times New Roman" w:eastAsia="Times New Roman" w:cs="Times New Roman"/>
          <w:b/>
          <w:bCs/>
          <w:color w:val="666666"/>
          <w:sz w:val="28"/>
          <w:szCs w:val="28"/>
          <w:lang w:val="en-US" w:eastAsia="ru-RU"/>
        </w:rPr>
        <w:t>Некоммерческая организация микрокредитная компания "Новошахтинский муниципальный фонд поддержки малого предпринимательства"</w:t>
      </w:r>
    </w:p>
    <w:p>
      <w:pPr>
        <w:shd w:val="clear" w:color="auto" w:fill="FFFFFF"/>
        <w:spacing w:after="225"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Общие положения</w:t>
      </w:r>
    </w:p>
    <w:p>
      <w:pPr>
        <w:shd w:val="clear" w:color="auto" w:fill="FFFFFF"/>
        <w:spacing w:after="225"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1.1. Для целей настоящего Положения используются следующие основные понятия: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обращение — направленное в фонд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фондом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официальный сайт фонда — сайт в информационно-телекоммуникационной сети «Интернет», содержащий информацию о деятельности фонда, электронный адрес которого включает доменное имя, права на которое принадлежат фонду;</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 получатель финансовой услуги — физическое лицо, зарегистрированное в качестве индивидуального предпринимателя, или юридическое лицо, обратившееся в фонд с намерением получить, получающее или получившее финансовую услугу;</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 POS-микрозаем — денежные средства, предоставленные фондом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фонда на банковский счет продавца (исполнителя) товара (работы,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5) реструктуризация задолженности — решение фонда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6)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7) финансовые услуги — услуги по предоставлению микрозаймов получателям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w:t>
      </w:r>
    </w:p>
    <w:p>
      <w:pPr>
        <w:shd w:val="clear" w:color="auto" w:fill="FFFFFF"/>
        <w:spacing w:after="225"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w:t>
      </w:r>
    </w:p>
    <w:p>
      <w:pPr>
        <w:shd w:val="clear" w:color="auto" w:fill="FFFFFF"/>
        <w:spacing w:after="0" w:line="360" w:lineRule="atLeast"/>
        <w:jc w:val="center"/>
        <w:textAlignment w:val="baseline"/>
        <w:rPr>
          <w:rFonts w:ascii="PT Mono" w:hAnsi="PT Mono"/>
          <w:caps/>
          <w:sz w:val="33"/>
          <w:szCs w:val="33"/>
        </w:rPr>
      </w:pPr>
      <w:r>
        <w:rPr>
          <w:rFonts w:hint="default" w:ascii="Times New Roman" w:hAnsi="Times New Roman" w:cs="Times New Roman"/>
          <w:caps/>
          <w:sz w:val="33"/>
          <w:szCs w:val="33"/>
        </w:rPr>
        <w:t>МИНИМАЛЬНЫЙ ОБЪЕМ ИНФОРМАЦИИ ДЛЯ ПОЛУЧАТЕЛЕЙ ФИНАНСОВОЙ УСЛУГИ</w:t>
      </w:r>
    </w:p>
    <w:p>
      <w:pPr>
        <w:shd w:val="clear" w:color="auto" w:fill="FFFFFF"/>
        <w:spacing w:after="0" w:line="360" w:lineRule="atLeast"/>
        <w:jc w:val="center"/>
        <w:textAlignment w:val="baseline"/>
        <w:rPr>
          <w:rFonts w:ascii="Times New Roman" w:hAnsi="Times New Roman" w:eastAsia="Times New Roman" w:cs="Times New Roman"/>
          <w:color w:val="666666"/>
          <w:sz w:val="28"/>
          <w:szCs w:val="28"/>
          <w:lang w:eastAsia="ru-RU"/>
        </w:rPr>
      </w:pPr>
    </w:p>
    <w:tbl>
      <w:tblPr>
        <w:tblStyle w:val="6"/>
        <w:tblW w:w="10915" w:type="dxa"/>
        <w:tblInd w:w="-1142" w:type="dxa"/>
        <w:shd w:val="clear" w:color="auto" w:fill="FFFFFF"/>
        <w:tblLayout w:type="fixed"/>
        <w:tblCellMar>
          <w:top w:w="0" w:type="dxa"/>
          <w:left w:w="0" w:type="dxa"/>
          <w:bottom w:w="0" w:type="dxa"/>
          <w:right w:w="0" w:type="dxa"/>
        </w:tblCellMar>
      </w:tblPr>
      <w:tblGrid>
        <w:gridCol w:w="580"/>
        <w:gridCol w:w="3673"/>
        <w:gridCol w:w="6379"/>
        <w:gridCol w:w="283"/>
      </w:tblGrid>
      <w:tr>
        <w:tblPrEx>
          <w:shd w:val="clear" w:color="auto" w:fill="FFFFFF"/>
          <w:tblLayout w:type="fixed"/>
          <w:tblCellMar>
            <w:top w:w="0" w:type="dxa"/>
            <w:left w:w="0" w:type="dxa"/>
            <w:bottom w:w="0" w:type="dxa"/>
            <w:right w:w="0" w:type="dxa"/>
          </w:tblCellMar>
        </w:tblPrEx>
        <w:trPr>
          <w:trHeight w:val="557"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Полное и (при наличии) сокращенное наименование </w:t>
            </w:r>
          </w:p>
        </w:tc>
        <w:tc>
          <w:tcPr>
            <w:tcW w:w="6662" w:type="dxa"/>
            <w:gridSpan w:val="2"/>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hd w:val="clear" w:color="auto" w:fill="FFFFFF"/>
              <w:spacing w:after="0" w:line="360" w:lineRule="atLeast"/>
              <w:jc w:val="center"/>
              <w:textAlignment w:val="baseline"/>
              <w:rPr>
                <w:rFonts w:hint="default" w:ascii="Times New Roman" w:hAnsi="Times New Roman" w:eastAsia="Times New Roman" w:cs="Times New Roman"/>
                <w:color w:val="666666"/>
                <w:sz w:val="28"/>
                <w:szCs w:val="28"/>
                <w:lang w:val="ru-RU" w:eastAsia="ru-RU"/>
              </w:rPr>
            </w:pPr>
            <w:r>
              <w:rPr>
                <w:rFonts w:ascii="Times New Roman" w:hAnsi="Times New Roman" w:eastAsia="Times New Roman" w:cs="Times New Roman"/>
                <w:bCs/>
                <w:color w:val="666666"/>
                <w:sz w:val="28"/>
                <w:szCs w:val="28"/>
                <w:lang w:eastAsia="ru-RU"/>
              </w:rPr>
              <w:t>Некоммерческая</w:t>
            </w:r>
            <w:r>
              <w:rPr>
                <w:rFonts w:hint="default" w:ascii="Times New Roman" w:hAnsi="Times New Roman" w:eastAsia="Times New Roman" w:cs="Times New Roman"/>
                <w:bCs/>
                <w:color w:val="666666"/>
                <w:sz w:val="28"/>
                <w:szCs w:val="28"/>
                <w:lang w:val="en-US" w:eastAsia="ru-RU"/>
              </w:rPr>
              <w:t xml:space="preserve"> организация -микрокредитная компания «Новошахтинский муниципальный фонд поддержки малого предпринимательства» </w:t>
            </w:r>
            <w:r>
              <w:rPr>
                <w:rFonts w:ascii="Times New Roman" w:hAnsi="Times New Roman" w:cs="Times New Roman"/>
                <w:sz w:val="28"/>
                <w:szCs w:val="28"/>
              </w:rPr>
              <w:t>С</w:t>
            </w:r>
            <w:r>
              <w:rPr>
                <w:rFonts w:ascii="Times New Roman" w:hAnsi="Times New Roman" w:eastAsia="Times New Roman" w:cs="Times New Roman"/>
                <w:color w:val="666666"/>
                <w:sz w:val="28"/>
                <w:szCs w:val="28"/>
                <w:lang w:eastAsia="ru-RU"/>
              </w:rPr>
              <w:t xml:space="preserve">окращенное наименование: </w:t>
            </w:r>
            <w:r>
              <w:rPr>
                <w:rFonts w:ascii="Times New Roman" w:hAnsi="Times New Roman" w:cs="Times New Roman"/>
                <w:sz w:val="28"/>
                <w:szCs w:val="28"/>
                <w:lang w:val="ru-RU"/>
              </w:rPr>
              <w:t>НОМКК</w:t>
            </w:r>
            <w:r>
              <w:rPr>
                <w:rFonts w:hint="default" w:ascii="Times New Roman" w:hAnsi="Times New Roman" w:cs="Times New Roman"/>
                <w:sz w:val="28"/>
                <w:szCs w:val="28"/>
                <w:lang w:val="ru-RU"/>
              </w:rPr>
              <w:t xml:space="preserve"> «НМФПМП»</w:t>
            </w:r>
          </w:p>
        </w:tc>
      </w:tr>
      <w:tr>
        <w:tblPrEx>
          <w:shd w:val="clear" w:color="auto" w:fill="FFFFFF"/>
          <w:tblLayout w:type="fixed"/>
          <w:tblCellMar>
            <w:top w:w="0" w:type="dxa"/>
            <w:left w:w="0" w:type="dxa"/>
            <w:bottom w:w="0" w:type="dxa"/>
            <w:right w:w="0" w:type="dxa"/>
          </w:tblCellMar>
        </w:tblPrEx>
        <w:trPr>
          <w:gridAfter w:val="1"/>
          <w:wAfter w:w="283" w:type="dxa"/>
          <w:trHeight w:val="4181"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Адрес, режим работы </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hint="default" w:ascii="Times New Roman" w:hAnsi="Times New Roman" w:cs="Times New Roman"/>
                <w:bCs/>
                <w:color w:val="000000"/>
                <w:spacing w:val="1"/>
                <w:sz w:val="28"/>
                <w:szCs w:val="28"/>
                <w:lang w:val="ru-RU"/>
              </w:rPr>
            </w:pPr>
            <w:r>
              <w:rPr>
                <w:rFonts w:ascii="Times New Roman" w:hAnsi="Times New Roman" w:cs="Times New Roman"/>
                <w:color w:val="000000"/>
                <w:spacing w:val="1"/>
                <w:sz w:val="28"/>
                <w:szCs w:val="28"/>
              </w:rPr>
              <w:t>346</w:t>
            </w:r>
            <w:r>
              <w:rPr>
                <w:rFonts w:hint="default" w:ascii="Times New Roman" w:hAnsi="Times New Roman" w:cs="Times New Roman"/>
                <w:color w:val="000000"/>
                <w:spacing w:val="1"/>
                <w:sz w:val="28"/>
                <w:szCs w:val="28"/>
                <w:lang w:val="ru-RU"/>
              </w:rPr>
              <w:t>918</w:t>
            </w:r>
            <w:r>
              <w:rPr>
                <w:rFonts w:ascii="Times New Roman" w:hAnsi="Times New Roman" w:cs="Times New Roman"/>
                <w:color w:val="000000"/>
                <w:spacing w:val="1"/>
                <w:sz w:val="28"/>
                <w:szCs w:val="28"/>
              </w:rPr>
              <w:t xml:space="preserve">, </w:t>
            </w:r>
            <w:r>
              <w:rPr>
                <w:rFonts w:ascii="Times New Roman" w:hAnsi="Times New Roman" w:cs="Times New Roman"/>
                <w:bCs/>
                <w:color w:val="000000"/>
                <w:spacing w:val="1"/>
                <w:sz w:val="28"/>
                <w:szCs w:val="28"/>
              </w:rPr>
              <w:t xml:space="preserve">Ростовская область, </w:t>
            </w:r>
            <w:r>
              <w:rPr>
                <w:rFonts w:ascii="Times New Roman" w:hAnsi="Times New Roman" w:cs="Times New Roman"/>
                <w:bCs/>
                <w:color w:val="000000"/>
                <w:spacing w:val="1"/>
                <w:sz w:val="28"/>
                <w:szCs w:val="28"/>
                <w:lang w:val="ru-RU"/>
              </w:rPr>
              <w:t>г</w:t>
            </w:r>
            <w:r>
              <w:rPr>
                <w:rFonts w:hint="default" w:ascii="Times New Roman" w:hAnsi="Times New Roman" w:cs="Times New Roman"/>
                <w:bCs/>
                <w:color w:val="000000"/>
                <w:spacing w:val="1"/>
                <w:sz w:val="28"/>
                <w:szCs w:val="28"/>
                <w:lang w:val="ru-RU"/>
              </w:rPr>
              <w:t>.Новошахтинск</w:t>
            </w:r>
          </w:p>
          <w:p>
            <w:pPr>
              <w:spacing w:after="0" w:line="240" w:lineRule="auto"/>
              <w:rPr>
                <w:rFonts w:hint="default" w:ascii="Times New Roman" w:hAnsi="Times New Roman" w:cs="Times New Roman"/>
                <w:bCs/>
                <w:color w:val="000000"/>
                <w:spacing w:val="1"/>
                <w:sz w:val="28"/>
                <w:szCs w:val="28"/>
                <w:lang w:val="ru-RU"/>
              </w:rPr>
            </w:pPr>
            <w:r>
              <w:rPr>
                <w:rFonts w:hint="default" w:ascii="Times New Roman" w:hAnsi="Times New Roman" w:cs="Times New Roman"/>
                <w:bCs/>
                <w:color w:val="000000"/>
                <w:spacing w:val="1"/>
                <w:sz w:val="28"/>
                <w:szCs w:val="28"/>
                <w:lang w:val="ru-RU"/>
              </w:rPr>
              <w:t>Ул. Советская,10</w:t>
            </w:r>
          </w:p>
          <w:p>
            <w:pPr>
              <w:rPr>
                <w:rFonts w:ascii="Times New Roman" w:hAnsi="Times New Roman" w:cs="Times New Roman"/>
                <w:sz w:val="28"/>
                <w:szCs w:val="28"/>
              </w:rPr>
            </w:pPr>
            <w:r>
              <w:rPr>
                <w:rFonts w:ascii="Times New Roman" w:hAnsi="Times New Roman" w:cs="Times New Roman"/>
                <w:sz w:val="28"/>
                <w:szCs w:val="28"/>
              </w:rPr>
              <w:t>Режим работы</w:t>
            </w:r>
          </w:p>
          <w:p>
            <w:pPr>
              <w:pStyle w:val="7"/>
              <w:shd w:val="clear" w:color="auto" w:fill="FFFFFF"/>
              <w:spacing w:before="0" w:beforeAutospacing="0" w:after="360" w:afterAutospacing="0"/>
              <w:rPr>
                <w:color w:val="333333"/>
                <w:sz w:val="28"/>
                <w:szCs w:val="28"/>
              </w:rPr>
            </w:pPr>
            <w:r>
              <w:rPr>
                <w:color w:val="333333"/>
                <w:sz w:val="28"/>
                <w:szCs w:val="28"/>
              </w:rPr>
              <w:t>Рабочие дни: Понедельник-Пятница</w:t>
            </w:r>
          </w:p>
          <w:p>
            <w:pPr>
              <w:pStyle w:val="2"/>
              <w:shd w:val="clear" w:color="auto" w:fill="FFFFFF"/>
              <w:spacing w:before="0" w:beforeAutospacing="0" w:after="360" w:afterAutospacing="0"/>
              <w:rPr>
                <w:color w:val="333333"/>
                <w:sz w:val="28"/>
                <w:szCs w:val="28"/>
              </w:rPr>
            </w:pPr>
            <w:r>
              <w:rPr>
                <w:color w:val="333333"/>
                <w:sz w:val="28"/>
                <w:szCs w:val="28"/>
              </w:rPr>
              <w:t>Выходные дни: Суббота, Воскресенье</w:t>
            </w:r>
          </w:p>
          <w:p>
            <w:pPr>
              <w:spacing w:after="225"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cs="Times New Roman"/>
                <w:color w:val="333333"/>
                <w:sz w:val="28"/>
                <w:szCs w:val="28"/>
              </w:rPr>
              <w:t>Рабочее время: 8.</w:t>
            </w:r>
            <w:r>
              <w:rPr>
                <w:rFonts w:hint="default" w:ascii="Times New Roman" w:hAnsi="Times New Roman" w:cs="Times New Roman"/>
                <w:color w:val="333333"/>
                <w:sz w:val="28"/>
                <w:szCs w:val="28"/>
                <w:lang w:val="ru-RU"/>
              </w:rPr>
              <w:t>3</w:t>
            </w:r>
            <w:r>
              <w:rPr>
                <w:rFonts w:ascii="Times New Roman" w:hAnsi="Times New Roman" w:cs="Times New Roman"/>
                <w:color w:val="333333"/>
                <w:sz w:val="28"/>
                <w:szCs w:val="28"/>
              </w:rPr>
              <w:t>0 — 17.</w:t>
            </w:r>
            <w:r>
              <w:rPr>
                <w:rFonts w:hint="default" w:ascii="Times New Roman" w:hAnsi="Times New Roman" w:cs="Times New Roman"/>
                <w:color w:val="333333"/>
                <w:sz w:val="28"/>
                <w:szCs w:val="28"/>
                <w:lang w:val="ru-RU"/>
              </w:rPr>
              <w:t>3</w:t>
            </w:r>
            <w:r>
              <w:rPr>
                <w:rFonts w:ascii="Times New Roman" w:hAnsi="Times New Roman" w:cs="Times New Roman"/>
                <w:color w:val="333333"/>
                <w:sz w:val="28"/>
                <w:szCs w:val="28"/>
              </w:rPr>
              <w:t>0 по Мск</w:t>
            </w:r>
            <w:r>
              <w:rPr>
                <w:rFonts w:ascii="Times New Roman" w:hAnsi="Times New Roman" w:eastAsia="Times New Roman" w:cs="Times New Roman"/>
                <w:color w:val="666666"/>
                <w:sz w:val="28"/>
                <w:szCs w:val="28"/>
                <w:lang w:eastAsia="ru-RU"/>
              </w:rPr>
              <w:t xml:space="preserve"> 690105,</w:t>
            </w:r>
          </w:p>
          <w:p>
            <w:pPr>
              <w:spacing w:after="225"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Обособленных подразделений нет</w:t>
            </w:r>
          </w:p>
        </w:tc>
      </w:tr>
      <w:tr>
        <w:tblPrEx>
          <w:shd w:val="clear" w:color="auto" w:fill="FFFFFF"/>
          <w:tblLayout w:type="fixed"/>
          <w:tblCellMar>
            <w:top w:w="0" w:type="dxa"/>
            <w:left w:w="0" w:type="dxa"/>
            <w:bottom w:w="0" w:type="dxa"/>
            <w:right w:w="0" w:type="dxa"/>
          </w:tblCellMar>
        </w:tblPrEx>
        <w:trPr>
          <w:gridAfter w:val="1"/>
          <w:wAfter w:w="283" w:type="dxa"/>
          <w:trHeight w:val="872"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Контактный телефон, по которому осуществляется связь с фондом</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225" w:line="360" w:lineRule="atLeast"/>
              <w:textAlignment w:val="baseline"/>
              <w:rPr>
                <w:rFonts w:hint="default" w:ascii="Times New Roman" w:hAnsi="Times New Roman" w:cs="Times New Roman"/>
                <w:color w:val="333333"/>
                <w:sz w:val="28"/>
                <w:szCs w:val="28"/>
                <w:shd w:val="clear" w:color="auto" w:fill="FFFFFF"/>
                <w:lang w:val="ru-RU"/>
              </w:rPr>
            </w:pPr>
            <w:r>
              <w:rPr>
                <w:rFonts w:ascii="Times New Roman" w:hAnsi="Times New Roman" w:cs="Times New Roman"/>
                <w:color w:val="333333"/>
                <w:sz w:val="28"/>
                <w:szCs w:val="28"/>
                <w:shd w:val="clear" w:color="auto" w:fill="FFFFFF"/>
              </w:rPr>
              <w:t>Тел.: +7 (8636</w:t>
            </w:r>
            <w:r>
              <w:rPr>
                <w:rFonts w:hint="default" w:ascii="Times New Roman" w:hAnsi="Times New Roman" w:cs="Times New Roman"/>
                <w:color w:val="333333"/>
                <w:sz w:val="28"/>
                <w:szCs w:val="28"/>
                <w:shd w:val="clear" w:color="auto" w:fill="FFFFFF"/>
                <w:lang w:val="ru-RU"/>
              </w:rPr>
              <w:t>3</w:t>
            </w:r>
            <w:r>
              <w:rPr>
                <w:rFonts w:ascii="Times New Roman" w:hAnsi="Times New Roman" w:cs="Times New Roman"/>
                <w:color w:val="333333"/>
                <w:sz w:val="28"/>
                <w:szCs w:val="28"/>
                <w:shd w:val="clear" w:color="auto" w:fill="FFFFFF"/>
              </w:rPr>
              <w:t>) 2-</w:t>
            </w:r>
            <w:r>
              <w:rPr>
                <w:rFonts w:hint="default" w:ascii="Times New Roman" w:hAnsi="Times New Roman" w:cs="Times New Roman"/>
                <w:color w:val="333333"/>
                <w:sz w:val="28"/>
                <w:szCs w:val="28"/>
                <w:shd w:val="clear" w:color="auto" w:fill="FFFFFF"/>
                <w:lang w:val="ru-RU"/>
              </w:rPr>
              <w:t>03-46</w:t>
            </w:r>
          </w:p>
          <w:p>
            <w:pPr>
              <w:spacing w:after="225" w:line="360" w:lineRule="atLeast"/>
              <w:textAlignment w:val="baseline"/>
              <w:rPr>
                <w:rFonts w:ascii="Times New Roman" w:hAnsi="Times New Roman" w:eastAsia="Times New Roman" w:cs="Times New Roman"/>
                <w:color w:val="666666"/>
                <w:sz w:val="28"/>
                <w:szCs w:val="28"/>
                <w:lang w:eastAsia="ru-RU"/>
              </w:rPr>
            </w:pPr>
          </w:p>
        </w:tc>
      </w:tr>
      <w:tr>
        <w:tblPrEx>
          <w:shd w:val="clear" w:color="auto" w:fill="FFFFFF"/>
          <w:tblLayout w:type="fixed"/>
          <w:tblCellMar>
            <w:top w:w="0" w:type="dxa"/>
            <w:left w:w="0" w:type="dxa"/>
            <w:bottom w:w="0" w:type="dxa"/>
            <w:right w:w="0" w:type="dxa"/>
          </w:tblCellMar>
        </w:tblPrEx>
        <w:trPr>
          <w:gridAfter w:val="1"/>
          <w:wAfter w:w="283" w:type="dxa"/>
          <w:trHeight w:val="266"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Официальный сайт фонда</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hint="default" w:ascii="Times New Roman" w:hAnsi="Times New Roman" w:cs="Times New Roman"/>
                <w:sz w:val="28"/>
                <w:szCs w:val="28"/>
                <w:lang w:val="en-US"/>
              </w:rPr>
              <w:t>mfpmpnov</w:t>
            </w:r>
            <w:r>
              <w:rPr>
                <w:rFonts w:ascii="Times New Roman" w:hAnsi="Times New Roman" w:cs="Times New Roman"/>
                <w:sz w:val="28"/>
                <w:szCs w:val="28"/>
              </w:rPr>
              <w:t>.</w:t>
            </w:r>
            <w:r>
              <w:rPr>
                <w:rFonts w:ascii="Times New Roman" w:hAnsi="Times New Roman" w:cs="Times New Roman"/>
                <w:sz w:val="28"/>
                <w:szCs w:val="28"/>
                <w:lang w:val="en-US"/>
              </w:rPr>
              <w:t>ru</w:t>
            </w:r>
          </w:p>
        </w:tc>
      </w:tr>
      <w:tr>
        <w:tblPrEx>
          <w:shd w:val="clear" w:color="auto" w:fill="FFFFFF"/>
          <w:tblLayout w:type="fixed"/>
          <w:tblCellMar>
            <w:top w:w="0" w:type="dxa"/>
            <w:left w:w="0" w:type="dxa"/>
            <w:bottom w:w="0" w:type="dxa"/>
            <w:right w:w="0" w:type="dxa"/>
          </w:tblCellMar>
        </w:tblPrEx>
        <w:trPr>
          <w:gridAfter w:val="1"/>
          <w:wAfter w:w="283" w:type="dxa"/>
          <w:trHeight w:val="569"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5</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Информацию об используемом товарном знаке (при наличии)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товарного знака нет</w:t>
            </w:r>
          </w:p>
        </w:tc>
      </w:tr>
      <w:tr>
        <w:tblPrEx>
          <w:shd w:val="clear" w:color="auto" w:fill="FFFFFF"/>
          <w:tblLayout w:type="fixed"/>
          <w:tblCellMar>
            <w:top w:w="0" w:type="dxa"/>
            <w:left w:w="0" w:type="dxa"/>
            <w:bottom w:w="0" w:type="dxa"/>
            <w:right w:w="0" w:type="dxa"/>
          </w:tblCellMar>
        </w:tblPrEx>
        <w:trPr>
          <w:gridAfter w:val="1"/>
          <w:wAfter w:w="283" w:type="dxa"/>
          <w:trHeight w:val="836"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6</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Факт привлечения к оказанию финансовых услуг третьего лица на основании гражданско-правового договора или доверенности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Отсутствует.</w:t>
            </w:r>
          </w:p>
        </w:tc>
      </w:tr>
      <w:tr>
        <w:tblPrEx>
          <w:shd w:val="clear" w:color="auto" w:fill="FFFFFF"/>
          <w:tblLayout w:type="fixed"/>
          <w:tblCellMar>
            <w:top w:w="0" w:type="dxa"/>
            <w:left w:w="0" w:type="dxa"/>
            <w:bottom w:w="0" w:type="dxa"/>
            <w:right w:w="0" w:type="dxa"/>
          </w:tblCellMar>
        </w:tblPrEx>
        <w:trPr>
          <w:gridAfter w:val="1"/>
          <w:wAfter w:w="283" w:type="dxa"/>
          <w:trHeight w:val="557"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7</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 регистрационном номере записи юридического лица в государственном реестре микрофинансовых организаций</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hint="default" w:ascii="Times New Roman" w:hAnsi="Times New Roman" w:cs="Times New Roman"/>
                <w:sz w:val="28"/>
                <w:szCs w:val="28"/>
                <w:lang w:val="en-US"/>
              </w:rPr>
            </w:pPr>
            <w:r>
              <w:rPr>
                <w:rFonts w:ascii="Times New Roman" w:hAnsi="Times New Roman" w:eastAsia="Times New Roman" w:cs="Times New Roman"/>
                <w:color w:val="666666"/>
                <w:sz w:val="28"/>
                <w:szCs w:val="28"/>
                <w:lang w:eastAsia="ru-RU"/>
              </w:rPr>
              <w:t xml:space="preserve">Номер в государственном реестре микрофинансовых организаций </w:t>
            </w:r>
            <w:r>
              <w:rPr>
                <w:rFonts w:ascii="Times New Roman" w:hAnsi="Times New Roman" w:cs="Times New Roman"/>
                <w:sz w:val="28"/>
                <w:szCs w:val="28"/>
              </w:rPr>
              <w:t>6110361000</w:t>
            </w:r>
            <w:r>
              <w:rPr>
                <w:rFonts w:hint="default" w:ascii="Times New Roman" w:hAnsi="Times New Roman" w:cs="Times New Roman"/>
                <w:sz w:val="28"/>
                <w:szCs w:val="28"/>
                <w:lang w:val="en-US"/>
              </w:rPr>
              <w:t>671</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666666"/>
                <w:sz w:val="28"/>
                <w:szCs w:val="28"/>
                <w:lang w:eastAsia="ru-RU"/>
              </w:rPr>
              <w:t>Дата внесения в реестр 0</w:t>
            </w:r>
            <w:r>
              <w:rPr>
                <w:rFonts w:hint="default" w:ascii="Times New Roman" w:hAnsi="Times New Roman" w:eastAsia="Times New Roman" w:cs="Times New Roman"/>
                <w:color w:val="666666"/>
                <w:sz w:val="28"/>
                <w:szCs w:val="28"/>
                <w:lang w:val="en-US" w:eastAsia="ru-RU"/>
              </w:rPr>
              <w:t>2</w:t>
            </w:r>
            <w:r>
              <w:rPr>
                <w:rFonts w:ascii="Times New Roman" w:hAnsi="Times New Roman" w:eastAsia="Times New Roman" w:cs="Times New Roman"/>
                <w:color w:val="666666"/>
                <w:sz w:val="28"/>
                <w:szCs w:val="28"/>
                <w:lang w:eastAsia="ru-RU"/>
              </w:rPr>
              <w:t xml:space="preserve"> ноября 2011 г.</w:t>
            </w:r>
          </w:p>
        </w:tc>
      </w:tr>
      <w:tr>
        <w:tblPrEx>
          <w:shd w:val="clear" w:color="auto" w:fill="FFFFFF"/>
          <w:tblLayout w:type="fixed"/>
          <w:tblCellMar>
            <w:top w:w="0" w:type="dxa"/>
            <w:left w:w="0" w:type="dxa"/>
            <w:bottom w:w="0" w:type="dxa"/>
            <w:right w:w="0" w:type="dxa"/>
          </w:tblCellMar>
        </w:tblPrEx>
        <w:trPr>
          <w:gridAfter w:val="1"/>
          <w:wAfter w:w="283" w:type="dxa"/>
          <w:trHeight w:val="848"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8</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 членстве в саморегулируемой организации (включая информацию о дате приема в члены саморегулируемой организации)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tabs>
                <w:tab w:val="center" w:pos="4677"/>
              </w:tabs>
              <w:rPr>
                <w:rFonts w:ascii="Times New Roman" w:hAnsi="Times New Roman" w:cs="Times New Roman"/>
                <w:sz w:val="28"/>
                <w:szCs w:val="28"/>
              </w:rPr>
            </w:pPr>
            <w:r>
              <w:rPr>
                <w:rFonts w:ascii="Times New Roman" w:hAnsi="Times New Roman" w:cs="Times New Roman"/>
                <w:sz w:val="28"/>
                <w:szCs w:val="28"/>
              </w:rPr>
              <w:t>Регистрационный номер в саморегулируемой организации СРО «МиР»: 61</w:t>
            </w:r>
            <w:r>
              <w:rPr>
                <w:rFonts w:hint="default" w:ascii="Times New Roman" w:hAnsi="Times New Roman" w:cs="Times New Roman"/>
                <w:sz w:val="28"/>
                <w:szCs w:val="28"/>
                <w:lang w:val="en-US"/>
              </w:rPr>
              <w:t xml:space="preserve"> </w:t>
            </w:r>
            <w:r>
              <w:rPr>
                <w:rFonts w:ascii="Times New Roman" w:hAnsi="Times New Roman" w:cs="Times New Roman"/>
                <w:sz w:val="28"/>
                <w:szCs w:val="28"/>
              </w:rPr>
              <w:t>000</w:t>
            </w:r>
            <w:r>
              <w:rPr>
                <w:rFonts w:hint="default" w:ascii="Times New Roman" w:hAnsi="Times New Roman" w:cs="Times New Roman"/>
                <w:sz w:val="28"/>
                <w:szCs w:val="28"/>
                <w:lang w:val="en-US"/>
              </w:rPr>
              <w:t>265</w:t>
            </w:r>
            <w:r>
              <w:rPr>
                <w:rFonts w:ascii="Times New Roman" w:hAnsi="Times New Roman" w:cs="Times New Roman"/>
                <w:sz w:val="28"/>
                <w:szCs w:val="28"/>
              </w:rPr>
              <w:t xml:space="preserve"> </w:t>
            </w:r>
          </w:p>
          <w:p>
            <w:pPr>
              <w:tabs>
                <w:tab w:val="center" w:pos="4677"/>
              </w:tabs>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Дата приема в члены </w:t>
            </w:r>
            <w:r>
              <w:rPr>
                <w:rFonts w:ascii="Times New Roman" w:hAnsi="Times New Roman" w:cs="Times New Roman"/>
                <w:sz w:val="28"/>
                <w:szCs w:val="28"/>
              </w:rPr>
              <w:t>СРО «МиР»:</w:t>
            </w:r>
            <w:r>
              <w:rPr>
                <w:rFonts w:hint="default" w:ascii="Times New Roman" w:hAnsi="Times New Roman" w:cs="Times New Roman"/>
                <w:sz w:val="28"/>
                <w:szCs w:val="28"/>
                <w:lang w:val="en-US"/>
              </w:rPr>
              <w:t>29.12.</w:t>
            </w:r>
            <w:r>
              <w:rPr>
                <w:rFonts w:ascii="Times New Roman" w:hAnsi="Times New Roman" w:cs="Times New Roman"/>
                <w:sz w:val="28"/>
                <w:szCs w:val="28"/>
              </w:rPr>
              <w:t>2015 г.</w:t>
            </w:r>
          </w:p>
        </w:tc>
      </w:tr>
      <w:tr>
        <w:tblPrEx>
          <w:shd w:val="clear" w:color="auto" w:fill="FFFFFF"/>
          <w:tblLayout w:type="fixed"/>
          <w:tblCellMar>
            <w:top w:w="0" w:type="dxa"/>
            <w:left w:w="0" w:type="dxa"/>
            <w:bottom w:w="0" w:type="dxa"/>
            <w:right w:w="0" w:type="dxa"/>
          </w:tblCellMar>
        </w:tblPrEx>
        <w:trPr>
          <w:gridAfter w:val="1"/>
          <w:wAfter w:w="283" w:type="dxa"/>
          <w:trHeight w:val="836"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9</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Об исключении из саморегулируемой организации (включая информацию о дате исключения из членов саморегулируемой организации)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Отсутствует.</w:t>
            </w:r>
          </w:p>
        </w:tc>
      </w:tr>
      <w:tr>
        <w:tblPrEx>
          <w:shd w:val="clear" w:color="auto" w:fill="FFFFFF"/>
          <w:tblLayout w:type="fixed"/>
          <w:tblCellMar>
            <w:top w:w="0" w:type="dxa"/>
            <w:left w:w="0" w:type="dxa"/>
            <w:bottom w:w="0" w:type="dxa"/>
            <w:right w:w="0" w:type="dxa"/>
          </w:tblCellMar>
        </w:tblPrEx>
        <w:trPr>
          <w:gridAfter w:val="1"/>
          <w:wAfter w:w="283" w:type="dxa"/>
          <w:trHeight w:val="848" w:hRule="atLeast"/>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10</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 финансовых услугах и дополнительных услугах, в том числе оказываемых за дополнительную плату</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Предоставление микрозаймов физическим лицам, зарегистрированным в качестве индивидуальных предпринимателей, и юридическим лицам, являющимися субъектами малого и среднего предпринимательства.</w:t>
            </w:r>
          </w:p>
          <w:p>
            <w:pPr>
              <w:spacing w:after="0" w:line="240" w:lineRule="auto"/>
              <w:rPr>
                <w:rFonts w:ascii="Times New Roman" w:hAnsi="Times New Roman" w:eastAsia="Times New Roman" w:cs="Times New Roman"/>
                <w:color w:val="666666"/>
                <w:sz w:val="28"/>
                <w:szCs w:val="28"/>
                <w:lang w:eastAsia="ru-RU"/>
              </w:rPr>
            </w:pPr>
          </w:p>
          <w:p>
            <w:pPr>
              <w:spacing w:after="0" w:line="240" w:lineRule="auto"/>
              <w:rPr>
                <w:rFonts w:ascii="Times New Roman" w:hAnsi="Times New Roman" w:eastAsia="Times New Roman" w:cs="Times New Roman"/>
                <w:b/>
                <w:color w:val="666666"/>
                <w:sz w:val="32"/>
                <w:szCs w:val="32"/>
                <w:lang w:eastAsia="ru-RU"/>
              </w:rPr>
            </w:pPr>
            <w:r>
              <w:rPr>
                <w:rFonts w:ascii="Times New Roman" w:hAnsi="Times New Roman" w:eastAsia="Times New Roman" w:cs="Times New Roman"/>
                <w:b/>
                <w:color w:val="666666"/>
                <w:sz w:val="32"/>
                <w:szCs w:val="32"/>
                <w:lang w:eastAsia="ru-RU"/>
              </w:rPr>
              <w:t>Потребительские займы не выдаются.</w:t>
            </w:r>
          </w:p>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b/>
                <w:color w:val="666666"/>
                <w:sz w:val="32"/>
                <w:szCs w:val="32"/>
                <w:lang w:eastAsia="ru-RU"/>
              </w:rPr>
              <w:t>Финансовые услуги по привлечению денежных средств по договорам займа от физических лиц не оказываются.</w:t>
            </w:r>
          </w:p>
        </w:tc>
      </w:tr>
      <w:tr>
        <w:tblPrEx>
          <w:shd w:val="clear" w:color="auto" w:fill="FFFFFF"/>
          <w:tblLayout w:type="fixed"/>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11</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Об установленном порядке разъяснения условий договоров и иных документов в отношении финансовой услуги, которую получатель финансовой услуги намерен получить.</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До подачи заявления о предоставлении микрозайма получатель финансовой услуги должен ознакомиться с </w:t>
            </w:r>
          </w:p>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правилами предоставления микрозаймов</w:t>
            </w:r>
          </w:p>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информацией об условиях предоставления, использования и возврата займа</w:t>
            </w:r>
          </w:p>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 общими условиями договора микрозайма, размещенными в папке для клиентов в офисе компании либо на сайте фонда. </w:t>
            </w:r>
          </w:p>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При наличии вопросов, неясностей со стороны получателя финансовой услуги директор фонда разъясняет и отвечает на вопросы получателя финансовой услуги. В случае если получатель финансовой услуги соглашается с локальными актами, Заимодавец при принятии решения о предоставлении Займа Заемщику предоставляет ему проект индивидуальных условий Договора и информирует Заемщика обо всех существенных условиях договора микрозайма. </w:t>
            </w:r>
          </w:p>
        </w:tc>
      </w:tr>
      <w:tr>
        <w:tblPrEx>
          <w:shd w:val="clear" w:color="auto" w:fill="FFFFFF"/>
          <w:tblLayout w:type="fixed"/>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12</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Информация о лице, ответственном за предоставление разъяснений условий договоров и иных документов в отношении финансовой услуги.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Директор </w:t>
            </w:r>
          </w:p>
        </w:tc>
      </w:tr>
      <w:tr>
        <w:tblPrEx>
          <w:shd w:val="clear" w:color="auto" w:fill="FFFFFF"/>
          <w:tblLayout w:type="fixed"/>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13</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При заключении договора займа получатель финансовой услуги информируется о следующих рисках:</w:t>
            </w:r>
          </w:p>
          <w:p>
            <w:pPr>
              <w:numPr>
                <w:ilvl w:val="0"/>
                <w:numId w:val="1"/>
              </w:numPr>
              <w:spacing w:after="0" w:line="240" w:lineRule="auto"/>
              <w:ind w:left="0"/>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pPr>
              <w:numPr>
                <w:ilvl w:val="0"/>
                <w:numId w:val="1"/>
              </w:numPr>
              <w:spacing w:after="0" w:line="240" w:lineRule="auto"/>
              <w:ind w:left="0"/>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о возможном увеличении суммы расходов получателя финансовой услуги, по сравнению с ожидаемой суммой расходов, при нецелевом использовании займа и о применяемой к получателю финансовой услуги неустойке (штрафе, пени) за нарушение обязательств по договору об оказании финансовой услуги</w:t>
            </w:r>
          </w:p>
        </w:tc>
      </w:tr>
      <w:tr>
        <w:tblPrEx>
          <w:shd w:val="clear" w:color="auto" w:fill="FFFFFF"/>
          <w:tblLayout w:type="fixed"/>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14</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 правах получателя финансовой услуги при осуществлении процедуры взыскания просроченной задолженности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pStyle w:val="2"/>
              <w:spacing w:before="0" w:beforeAutospacing="0" w:after="150" w:afterAutospacing="0"/>
              <w:jc w:val="both"/>
              <w:textAlignment w:val="top"/>
              <w:rPr>
                <w:color w:val="666666"/>
                <w:sz w:val="28"/>
                <w:szCs w:val="28"/>
              </w:rPr>
            </w:pPr>
            <w:r>
              <w:rPr>
                <w:color w:val="666666"/>
                <w:sz w:val="28"/>
                <w:szCs w:val="28"/>
              </w:rPr>
              <w:t>Получатель финансовой услуги имеет право:</w:t>
            </w:r>
          </w:p>
          <w:p>
            <w:pPr>
              <w:pStyle w:val="2"/>
              <w:spacing w:before="0" w:beforeAutospacing="0" w:after="150" w:afterAutospacing="0"/>
              <w:jc w:val="both"/>
              <w:textAlignment w:val="top"/>
              <w:rPr>
                <w:color w:val="666666"/>
                <w:sz w:val="28"/>
                <w:szCs w:val="28"/>
              </w:rPr>
            </w:pPr>
            <w:r>
              <w:rPr>
                <w:color w:val="666666"/>
                <w:sz w:val="28"/>
                <w:szCs w:val="28"/>
              </w:rPr>
              <w:br w:type="textWrapping"/>
            </w:r>
            <w:r>
              <w:rPr>
                <w:color w:val="666666"/>
                <w:sz w:val="28"/>
                <w:szCs w:val="28"/>
              </w:rPr>
              <w:t>- погасить возникшую просроченную задолженность;</w:t>
            </w:r>
            <w:r>
              <w:rPr>
                <w:color w:val="666666"/>
                <w:sz w:val="28"/>
                <w:szCs w:val="28"/>
              </w:rPr>
              <w:br w:type="textWrapping"/>
            </w:r>
            <w:r>
              <w:rPr>
                <w:color w:val="666666"/>
                <w:sz w:val="28"/>
                <w:szCs w:val="28"/>
              </w:rPr>
              <w:t>- воспользоваться иными правами, установленными действующим законодательством.</w:t>
            </w:r>
          </w:p>
          <w:p>
            <w:pPr>
              <w:spacing w:after="0" w:line="240" w:lineRule="auto"/>
              <w:jc w:val="both"/>
              <w:rPr>
                <w:rFonts w:ascii="Times New Roman" w:hAnsi="Times New Roman"/>
                <w:color w:val="666666"/>
                <w:sz w:val="28"/>
                <w:szCs w:val="28"/>
              </w:rPr>
            </w:pPr>
            <w:r>
              <w:rPr>
                <w:color w:val="666666"/>
                <w:sz w:val="28"/>
                <w:szCs w:val="28"/>
              </w:rPr>
              <w:t>П</w:t>
            </w:r>
            <w:r>
              <w:rPr>
                <w:rFonts w:ascii="Times New Roman" w:hAnsi="Times New Roman"/>
                <w:color w:val="666666"/>
                <w:sz w:val="28"/>
                <w:szCs w:val="28"/>
              </w:rPr>
              <w:t>олучатель финансовой услуги имеет:</w:t>
            </w:r>
          </w:p>
          <w:p>
            <w:pPr>
              <w:spacing w:after="0" w:line="240" w:lineRule="auto"/>
              <w:jc w:val="both"/>
              <w:rPr>
                <w:rFonts w:ascii="Times New Roman" w:hAnsi="Times New Roman" w:eastAsia="Times New Roman" w:cs="Times New Roman"/>
                <w:color w:val="666666"/>
                <w:sz w:val="28"/>
                <w:szCs w:val="28"/>
                <w:lang w:eastAsia="ru-RU"/>
              </w:rPr>
            </w:pPr>
          </w:p>
          <w:p>
            <w:pPr>
              <w:spacing w:after="0" w:line="240" w:lineRule="auto"/>
              <w:jc w:val="both"/>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Право на предоставление информации о персональных данных (фамилия, имя и отчество (при наличии)) либо наименования кредитора, а также лица, действующего от его имени и (или) в его интересах при осуществлении непосредственного взаимодействия.</w:t>
            </w:r>
          </w:p>
          <w:p>
            <w:pPr>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Право на согласие либо отказ от способов взаимодействия, не поименованных в ч. 1 ст. 4 Федерального Закона от 02.07.2016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(далее Федеральный Закон от 02.07.2016 № 230–ФЗ), которое осуществляется посредством направления письменного соглашения между должником и кредитором или лицом, действующим от его имени и (или) в его интересах.</w:t>
            </w:r>
          </w:p>
          <w:p>
            <w:pPr>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Вправе отозвать согласие на обработку, передачу (сообщение) третьим лицам персональных данных, просроченной задолженности и порядке ее взыскания. </w:t>
            </w:r>
          </w:p>
          <w:p>
            <w:pPr>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Право на взаимодействие на русском языке или языке, на котором составлен договор или иной документ, на основании которого возникла просроченная задолженность.</w:t>
            </w:r>
          </w:p>
          <w:p>
            <w:pPr>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Вправе получать информацию о привлечении иного лица для осуществления взаимодействия.</w:t>
            </w:r>
          </w:p>
          <w:p>
            <w:pPr>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Должник, также имеет иные права, предусмотренные Федеральным Законом от 02.07.2016 № 230–ФЗ.</w:t>
            </w:r>
          </w:p>
        </w:tc>
      </w:tr>
      <w:tr>
        <w:tblPrEx>
          <w:shd w:val="clear" w:color="auto" w:fill="FFFFFF"/>
          <w:tblLayout w:type="fixed"/>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15</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 способах и адресах для направления обращений получателями финансовых услуг.</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Обращения, адресованные фонду, получатели финансовых услуг вправе направлять следующими способами:</w:t>
            </w:r>
          </w:p>
          <w:p>
            <w:pPr>
              <w:spacing w:after="225"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По почте заказным отправлением с уведомлением о вручении;</w:t>
            </w:r>
          </w:p>
          <w:p>
            <w:pPr>
              <w:spacing w:after="225"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Простым почтовым отправлением.</w:t>
            </w:r>
          </w:p>
          <w:p>
            <w:pPr>
              <w:spacing w:after="0" w:line="360" w:lineRule="atLeast"/>
              <w:textAlignment w:val="baseline"/>
              <w:rPr>
                <w:rFonts w:hint="default" w:ascii="Times New Roman" w:hAnsi="Times New Roman" w:eastAsia="Times New Roman" w:cs="Times New Roman"/>
                <w:color w:val="666666"/>
                <w:sz w:val="28"/>
                <w:szCs w:val="28"/>
                <w:lang w:val="ru-RU" w:eastAsia="ru-RU"/>
              </w:rPr>
            </w:pPr>
            <w:r>
              <w:rPr>
                <w:rFonts w:ascii="Times New Roman" w:hAnsi="Times New Roman" w:eastAsia="Times New Roman" w:cs="Times New Roman"/>
                <w:color w:val="666666"/>
                <w:sz w:val="28"/>
                <w:szCs w:val="28"/>
                <w:lang w:eastAsia="ru-RU"/>
              </w:rPr>
              <w:t>По следующему адресу: </w:t>
            </w:r>
            <w:r>
              <w:rPr>
                <w:rFonts w:ascii="Times New Roman" w:hAnsi="Times New Roman" w:cs="Times New Roman"/>
                <w:color w:val="000000"/>
                <w:spacing w:val="1"/>
                <w:sz w:val="28"/>
                <w:szCs w:val="28"/>
              </w:rPr>
              <w:t>346</w:t>
            </w:r>
            <w:r>
              <w:rPr>
                <w:rFonts w:hint="default" w:ascii="Times New Roman" w:hAnsi="Times New Roman" w:cs="Times New Roman"/>
                <w:color w:val="000000"/>
                <w:spacing w:val="1"/>
                <w:sz w:val="28"/>
                <w:szCs w:val="28"/>
                <w:lang w:val="en-US"/>
              </w:rPr>
              <w:t>918</w:t>
            </w:r>
            <w:r>
              <w:rPr>
                <w:rFonts w:ascii="Times New Roman" w:hAnsi="Times New Roman" w:cs="Times New Roman"/>
                <w:color w:val="000000"/>
                <w:spacing w:val="1"/>
                <w:sz w:val="28"/>
                <w:szCs w:val="28"/>
              </w:rPr>
              <w:t xml:space="preserve">, </w:t>
            </w:r>
            <w:r>
              <w:rPr>
                <w:rFonts w:ascii="Times New Roman" w:hAnsi="Times New Roman" w:cs="Times New Roman"/>
                <w:bCs/>
                <w:color w:val="000000"/>
                <w:spacing w:val="1"/>
                <w:sz w:val="28"/>
                <w:szCs w:val="28"/>
              </w:rPr>
              <w:t xml:space="preserve">Ростовская область, </w:t>
            </w:r>
            <w:r>
              <w:rPr>
                <w:rFonts w:hint="default" w:ascii="Times New Roman" w:hAnsi="Times New Roman" w:cs="Times New Roman"/>
                <w:bCs/>
                <w:color w:val="000000"/>
                <w:spacing w:val="1"/>
                <w:sz w:val="28"/>
                <w:szCs w:val="28"/>
                <w:lang w:val="ru-RU"/>
              </w:rPr>
              <w:t>г. Новошахтинск, ул. Советская,10</w:t>
            </w:r>
          </w:p>
        </w:tc>
      </w:tr>
      <w:tr>
        <w:tblPrEx>
          <w:shd w:val="clear" w:color="auto" w:fill="FFFFFF"/>
          <w:tblLayout w:type="fixed"/>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16</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Информация о возможности направления обращений в саморегулируемую организацию и в Банк России.</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Центральный Банк Российской Федерации (Банк России), Адрес: 107016, г. Москва, ул. Неглинная, д. 12; Тел.: 8 495 771-91-00; 8 800 250-40-72.</w:t>
            </w:r>
          </w:p>
          <w:p>
            <w:pPr>
              <w:spacing w:after="0" w:line="360" w:lineRule="atLeast"/>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Саморегулируемая организация </w:t>
            </w:r>
            <w:r>
              <w:rPr>
                <w:rFonts w:ascii="Times New Roman" w:hAnsi="Times New Roman" w:cs="Times New Roman"/>
                <w:sz w:val="28"/>
                <w:szCs w:val="28"/>
              </w:rPr>
              <w:t xml:space="preserve">Некоммерческое партнерство «Микрофинансирование и Развитие» (СРО НП «МиР») </w:t>
            </w:r>
            <w:r>
              <w:rPr>
                <w:rFonts w:ascii="Times New Roman" w:hAnsi="Times New Roman" w:eastAsia="Times New Roman" w:cs="Times New Roman"/>
                <w:color w:val="666666"/>
                <w:sz w:val="28"/>
                <w:szCs w:val="28"/>
                <w:lang w:eastAsia="ru-RU"/>
              </w:rPr>
              <w:t>107031, Москва г, Петровка ул, д. 15/13, кор. 5 офис 500</w:t>
            </w:r>
          </w:p>
        </w:tc>
      </w:tr>
      <w:tr>
        <w:tblPrEx>
          <w:shd w:val="clear" w:color="auto" w:fill="FFFFFF"/>
          <w:tblLayout w:type="fixed"/>
          <w:tblCellMar>
            <w:top w:w="0" w:type="dxa"/>
            <w:left w:w="0" w:type="dxa"/>
            <w:bottom w:w="0" w:type="dxa"/>
            <w:right w:w="0" w:type="dxa"/>
          </w:tblCellMar>
        </w:tblPrEx>
        <w:trPr>
          <w:gridAfter w:val="1"/>
          <w:wAfter w:w="283" w:type="dxa"/>
        </w:trPr>
        <w:tc>
          <w:tcPr>
            <w:tcW w:w="580"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17</w:t>
            </w:r>
          </w:p>
        </w:tc>
        <w:tc>
          <w:tcPr>
            <w:tcW w:w="3673"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tcPr>
          <w:p>
            <w:pPr>
              <w:spacing w:after="0" w:line="240" w:lineRule="auto"/>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О способах защиты прав получателя финансовой услуги, включая информацию о наличии возможности и способах досудебного урегулирования спора </w:t>
            </w:r>
          </w:p>
        </w:tc>
        <w:tc>
          <w:tcPr>
            <w:tcW w:w="6379" w:type="dxa"/>
            <w:tcBorders>
              <w:top w:val="single" w:color="EAEAEA" w:sz="6" w:space="0"/>
              <w:left w:val="single" w:color="EAEAEA" w:sz="6" w:space="0"/>
              <w:bottom w:val="single" w:color="EAEAEA" w:sz="6" w:space="0"/>
              <w:right w:val="single" w:color="EAEAEA" w:sz="6" w:space="0"/>
            </w:tcBorders>
            <w:shd w:val="clear" w:color="auto" w:fill="FFFFFF"/>
            <w:tcMar>
              <w:top w:w="90" w:type="dxa"/>
              <w:left w:w="150" w:type="dxa"/>
              <w:bottom w:w="90" w:type="dxa"/>
              <w:right w:w="150" w:type="dxa"/>
            </w:tcMar>
            <w:vAlign w:val="bottom"/>
          </w:tcPr>
          <w:p>
            <w:pPr>
              <w:spacing w:after="0" w:line="240" w:lineRule="auto"/>
              <w:jc w:val="both"/>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При нарушении получателем финансовой услуги сроков возврата основной суммы долга и (или) уплаты процентов по договору займа, фонд письменно доводит до сведения получателя финансовой услуги претензию для разрешения спора в досудебном порядке. В случае если в течение 30 (тридцати) календарных дней с даты направления претензии фондом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pPr>
              <w:spacing w:after="0" w:line="240" w:lineRule="auto"/>
              <w:rPr>
                <w:rFonts w:ascii="Times New Roman" w:hAnsi="Times New Roman" w:eastAsia="Times New Roman" w:cs="Times New Roman"/>
                <w:color w:val="666666"/>
                <w:sz w:val="28"/>
                <w:szCs w:val="28"/>
                <w:lang w:eastAsia="ru-RU"/>
              </w:rPr>
            </w:pPr>
          </w:p>
        </w:tc>
      </w:tr>
    </w:tbl>
    <w:p>
      <w:pPr>
        <w:shd w:val="clear" w:color="auto" w:fill="FFFFFF"/>
        <w:spacing w:after="225" w:line="360" w:lineRule="atLeast"/>
        <w:textAlignment w:val="baseline"/>
        <w:rPr>
          <w:rFonts w:ascii="Times New Roman" w:hAnsi="Times New Roman" w:eastAsia="Times New Roman" w:cs="Times New Roman"/>
          <w:color w:val="666666"/>
          <w:sz w:val="28"/>
          <w:szCs w:val="28"/>
          <w:lang w:eastAsia="ru-RU"/>
        </w:rPr>
      </w:pP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2.2. Принципы и порядок предоставления информации получателям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предоставляет получателю финансовой услуги по его требованию заверенные Фонд копии следующих документов или обосновывает невозможность предоставления таких документов:</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подписанный сторонами документ, содержащий индивидуальные условия договора об оказании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документ, подтверждающий выдачу получателю финансовой услуги займа;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 документ, подтверждающий полное исполнение получателем финансовой услуги обязательств по договору об оказании финансовой услуги.</w:t>
      </w:r>
    </w:p>
    <w:p>
      <w:pPr>
        <w:numPr>
          <w:ilvl w:val="0"/>
          <w:numId w:val="2"/>
        </w:numPr>
        <w:shd w:val="clear" w:color="auto" w:fill="FFFFFF"/>
        <w:spacing w:after="0" w:line="240" w:lineRule="auto"/>
        <w:ind w:left="0"/>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bCs/>
          <w:color w:val="666666"/>
          <w:sz w:val="28"/>
          <w:szCs w:val="28"/>
          <w:lang w:eastAsia="ru-RU"/>
        </w:rPr>
        <w:t>Правила взаимодействия фонда с получателями финансовых услуг</w:t>
      </w:r>
    </w:p>
    <w:p>
      <w:pPr>
        <w:shd w:val="clear" w:color="auto" w:fill="FFFFFF"/>
        <w:spacing w:after="0" w:line="240" w:lineRule="auto"/>
        <w:jc w:val="both"/>
        <w:textAlignment w:val="baseline"/>
        <w:rPr>
          <w:rFonts w:ascii="Times New Roman" w:hAnsi="Times New Roman" w:eastAsia="Times New Roman" w:cs="Times New Roman"/>
          <w:color w:val="666666"/>
          <w:sz w:val="28"/>
          <w:szCs w:val="28"/>
          <w:lang w:eastAsia="ru-RU"/>
        </w:rPr>
      </w:pP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3.1. Общие правила взаимодействия </w:t>
      </w:r>
      <w:r>
        <w:rPr>
          <w:rFonts w:ascii="Times New Roman" w:hAnsi="Times New Roman" w:eastAsia="Times New Roman" w:cs="Times New Roman"/>
          <w:bCs/>
          <w:color w:val="666666"/>
          <w:sz w:val="28"/>
          <w:szCs w:val="28"/>
          <w:lang w:eastAsia="ru-RU"/>
        </w:rPr>
        <w:t>фонда</w:t>
      </w:r>
      <w:r>
        <w:rPr>
          <w:rFonts w:ascii="Times New Roman" w:hAnsi="Times New Roman" w:eastAsia="Times New Roman" w:cs="Times New Roman"/>
          <w:color w:val="666666"/>
          <w:sz w:val="28"/>
          <w:szCs w:val="28"/>
          <w:lang w:eastAsia="ru-RU"/>
        </w:rPr>
        <w:t xml:space="preserve"> с получателями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r>
        <w:rPr>
          <w:rFonts w:ascii="Times New Roman" w:hAnsi="Times New Roman" w:eastAsia="Times New Roman" w:cs="Times New Roman"/>
          <w:bCs/>
          <w:color w:val="666666"/>
          <w:sz w:val="28"/>
          <w:szCs w:val="28"/>
          <w:lang w:eastAsia="ru-RU"/>
        </w:rPr>
        <w:t>фонд</w:t>
      </w:r>
      <w:r>
        <w:rPr>
          <w:rFonts w:ascii="Times New Roman" w:hAnsi="Times New Roman" w:eastAsia="Times New Roman" w:cs="Times New Roman"/>
          <w:color w:val="666666"/>
          <w:sz w:val="28"/>
          <w:szCs w:val="28"/>
          <w:lang w:eastAsia="ru-RU"/>
        </w:rPr>
        <w:t xml:space="preserve"> обязан предоставить получателю финансовой услуги мотивированный ответ по существу такого вопроса и иные соответствующие разъяснения. В случае обращения получателя финансовой услуги за устной консультацией предельный срок ожидания в очереди не может превышать 30 (тридцати) минут.</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В деятельности </w:t>
      </w:r>
      <w:r>
        <w:rPr>
          <w:rFonts w:ascii="Times New Roman" w:hAnsi="Times New Roman" w:eastAsia="Times New Roman" w:cs="Times New Roman"/>
          <w:bCs/>
          <w:color w:val="666666"/>
          <w:sz w:val="28"/>
          <w:szCs w:val="28"/>
          <w:lang w:eastAsia="ru-RU"/>
        </w:rPr>
        <w:t>фонда</w:t>
      </w:r>
      <w:r>
        <w:rPr>
          <w:rFonts w:ascii="Times New Roman" w:hAnsi="Times New Roman" w:eastAsia="Times New Roman" w:cs="Times New Roman"/>
          <w:color w:val="666666"/>
          <w:sz w:val="28"/>
          <w:szCs w:val="28"/>
          <w:lang w:eastAsia="ru-RU"/>
        </w:rPr>
        <w:t xml:space="preserve"> не допускается применение недобросовестных практик, в том числе:</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1) передача </w:t>
      </w:r>
      <w:r>
        <w:rPr>
          <w:rFonts w:ascii="Times New Roman" w:hAnsi="Times New Roman" w:eastAsia="Times New Roman" w:cs="Times New Roman"/>
          <w:bCs/>
          <w:color w:val="666666"/>
          <w:sz w:val="28"/>
          <w:szCs w:val="28"/>
          <w:lang w:eastAsia="ru-RU"/>
        </w:rPr>
        <w:t>фондом</w:t>
      </w:r>
      <w:r>
        <w:rPr>
          <w:rFonts w:ascii="Times New Roman" w:hAnsi="Times New Roman" w:eastAsia="Times New Roman" w:cs="Times New Roman"/>
          <w:color w:val="666666"/>
          <w:sz w:val="28"/>
          <w:szCs w:val="28"/>
          <w:lang w:eastAsia="ru-RU"/>
        </w:rPr>
        <w:t xml:space="preserve">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оказание психологического давления на получателя финансовой услуги с целью склонения к выбору той или иной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3.2. Информация, запрашиваемая </w:t>
      </w:r>
      <w:r>
        <w:rPr>
          <w:rFonts w:ascii="Times New Roman" w:hAnsi="Times New Roman" w:eastAsia="Times New Roman" w:cs="Times New Roman"/>
          <w:bCs/>
          <w:color w:val="666666"/>
          <w:sz w:val="28"/>
          <w:szCs w:val="28"/>
          <w:lang w:eastAsia="ru-RU"/>
        </w:rPr>
        <w:t>фондом</w:t>
      </w:r>
      <w:r>
        <w:rPr>
          <w:rFonts w:ascii="Times New Roman" w:hAnsi="Times New Roman" w:eastAsia="Times New Roman" w:cs="Times New Roman"/>
          <w:color w:val="666666"/>
          <w:sz w:val="28"/>
          <w:szCs w:val="28"/>
          <w:lang w:eastAsia="ru-RU"/>
        </w:rPr>
        <w:t xml:space="preserve"> у получателя финансовой услуги до заключения договора потребительского займа.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До заключения договора займа или принятия получателя финансовой услуги на обслуживание, </w:t>
      </w:r>
      <w:r>
        <w:rPr>
          <w:rFonts w:ascii="Times New Roman" w:hAnsi="Times New Roman" w:eastAsia="Times New Roman" w:cs="Times New Roman"/>
          <w:bCs/>
          <w:color w:val="666666"/>
          <w:sz w:val="28"/>
          <w:szCs w:val="28"/>
          <w:lang w:eastAsia="ru-RU"/>
        </w:rPr>
        <w:t>фонд</w:t>
      </w:r>
      <w:r>
        <w:rPr>
          <w:rFonts w:ascii="Times New Roman" w:hAnsi="Times New Roman" w:eastAsia="Times New Roman" w:cs="Times New Roman"/>
          <w:color w:val="666666"/>
          <w:sz w:val="28"/>
          <w:szCs w:val="28"/>
          <w:lang w:eastAsia="ru-RU"/>
        </w:rPr>
        <w:t xml:space="preserve"> может запросить у получателя финансовой услуги следующую информацию:</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о размере доходов от предпринимательской деятельности, наличии иных источников дохода и денежных обязательствах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 о судебных спорах, в которых получатель финансовой услуги выступает ответчиком;</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 о наличии в собственности получателя финансовой услуги движимого и (или) недвижимого имущества.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3.3. Осуществление оценки платежеспособности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при рассмотрении заявления получателя финансовой услуги на получение займа в обязательном порядке проводит оценку платежеспособности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Для оценки долговой нагрузки фонд обязан запросить у получателя финансовой услуги, обратившегося в микрокредитную организацию с заявлением на получение займа, следующую информацию:</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о текущих денежных обязательствах;</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о периодичности и суммах платежей по указанным получателем финансовой услуги обязательствам;</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 о целях получения займа получателем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 об источниках доходов, за счет которых предполагается исполнение обязательств по договору займа;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5) о факте производства по делу о банкротстве получателя финансовой услуги на дату подачи в фонд заявления на получение займа получателем финансовой услуги и в течение 5 (пяти) лет до даты подачи такого заявления.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3.4. Порядок взаимодействия фонда с получателями финансовых услуг при возникновении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В случае возникновения по договору займа просроченной задолженности, фонд с целью предотвращения дальнейшего увеличения долговой нагрузки получателя финансовой услуги обязан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может с учетом требований применимого законодательства Российской Федерации информировать получателя финансовой услуги по договору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3.5. Реструктуризация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В случае возникновения просроченной задолженности по договору займа получатель финансовой услуги (его правопреемник, представитель) вправе обратиться в фонд с заявлением о реструктуризации задолженности.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В случае получения заявления о реструктуризации задолженности, возникшей по договору займа, фонд обязан рассмотреть такое заявление и проанализировать приведенные в заявлении факты, а также подтверждающие такие факты документы.</w:t>
      </w:r>
    </w:p>
    <w:p>
      <w:pPr>
        <w:numPr>
          <w:ilvl w:val="0"/>
          <w:numId w:val="3"/>
        </w:numPr>
        <w:shd w:val="clear" w:color="auto" w:fill="FFFFFF"/>
        <w:spacing w:after="0" w:line="240" w:lineRule="auto"/>
        <w:ind w:left="0"/>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bCs/>
          <w:color w:val="666666"/>
          <w:sz w:val="28"/>
          <w:szCs w:val="28"/>
          <w:lang w:eastAsia="ru-RU"/>
        </w:rPr>
        <w:t>Рассмотрение обращений получателей финансовых услуг</w:t>
      </w:r>
    </w:p>
    <w:p>
      <w:pPr>
        <w:shd w:val="clear" w:color="auto" w:fill="FFFFFF"/>
        <w:spacing w:after="0" w:line="240" w:lineRule="auto"/>
        <w:jc w:val="both"/>
        <w:textAlignment w:val="baseline"/>
        <w:rPr>
          <w:rFonts w:ascii="Times New Roman" w:hAnsi="Times New Roman" w:eastAsia="Times New Roman" w:cs="Times New Roman"/>
          <w:color w:val="666666"/>
          <w:sz w:val="28"/>
          <w:szCs w:val="28"/>
          <w:lang w:eastAsia="ru-RU"/>
        </w:rPr>
      </w:pP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4.1. Общие принципы и порядок рассмотрения обращений получателей финансовых услуг</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При рассмотрении обращений получателей финансовых услуг фонд руководствуется принципами доступности, результативности, объективности и беспристрастности.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4.2. Требования к информационному обеспечению работы с обращениями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Ответ на обращение получателя финансовой услуги микрокредитной организация направляет по адресу, предоставленному ей получателем финансовой услуги при заключении договора об оказании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обязан отвечать на каждое полученное им обращение. Вместе с тем, в случае направления обращения от имени получателя финансовой услуги его представителем фонд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фондом. </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 о риске получения информации о получателе финансовой услуги неуполномоченным лицом.</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обязана в доступной форме, в том числе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Обращение получателя финансовой услуги должно содержать</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 в отношении получателя финансовой услуги, являющегося физическим лицом, фамилию, имя, отчество (при наличии), адрес (почтовый или электронный, для направления ответа на обращение;</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 xml:space="preserve">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Получатель финансовой услуги обязан включить в обращение следующую информацию и документы (при их наличии):</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номер договора, заключенного между получателем финансовой услуги и фондом;</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 наименование органа, должности, фамилии, имени и отчества (при наличии) работника фонда, действия (бездействие) которого обжалуются;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 иные сведения, которые получатель финансовой услуги считает необходимым сообщить;</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вправе отказать в рассмотрении обращения получателя финансовой услуги по существу в следующих случаях:</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1) в обращении не указаны идентифицирующие получателя финансовой услуги признаки (в отношении</w:t>
      </w:r>
      <w:bookmarkStart w:id="0" w:name="_GoBack"/>
      <w:bookmarkEnd w:id="0"/>
      <w:r>
        <w:rPr>
          <w:rFonts w:ascii="Times New Roman" w:hAnsi="Times New Roman" w:eastAsia="Times New Roman" w:cs="Times New Roman"/>
          <w:color w:val="666666"/>
          <w:sz w:val="28"/>
          <w:szCs w:val="28"/>
          <w:lang w:eastAsia="ru-RU"/>
        </w:rPr>
        <w:t xml:space="preserve">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2) отсутствует подпись уполномоченного представителя (в отношении юридических лиц);</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3) в обращении содержатся нецензурные либо оскорбительные выражения, угрозы имуществу фонда, имуществу, жизни и (или) здоровью работников фонда, а также членов их семей;</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 текст письменного обращения не поддается прочтению;</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обязан рассмотреть обращение получателя финансовой услуги по существу после устранения причин для отказа в рассмотрении обращения.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Обращения и документы по их рассмотрению хранятся фондом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4.3. Прием обращений, регистрация обращений и требования к предельным срокам рассмотрения обращений</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Фонд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фонда,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фонда.</w:t>
      </w:r>
    </w:p>
    <w:p>
      <w:pPr>
        <w:shd w:val="clear" w:color="auto" w:fill="FFFFFF"/>
        <w:spacing w:after="225" w:line="360" w:lineRule="atLeast"/>
        <w:jc w:val="both"/>
        <w:textAlignment w:val="baseline"/>
        <w:rPr>
          <w:rFonts w:ascii="Times New Roman" w:hAnsi="Times New Roman" w:eastAsia="Times New Roman" w:cs="Times New Roman"/>
          <w:color w:val="666666"/>
          <w:sz w:val="28"/>
          <w:szCs w:val="28"/>
          <w:lang w:eastAsia="ru-RU"/>
        </w:rPr>
      </w:pPr>
      <w:r>
        <w:rPr>
          <w:rFonts w:ascii="Times New Roman" w:hAnsi="Times New Roman" w:eastAsia="Times New Roman" w:cs="Times New Roman"/>
          <w:color w:val="666666"/>
          <w:sz w:val="28"/>
          <w:szCs w:val="28"/>
          <w:lang w:eastAsia="ru-RU"/>
        </w:rPr>
        <w:t>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фондом, подлежит рассмотрению фонде в день обращения. При этом такое обращение не фиксируется в «Журнале регистрации обращений».</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PT Mono">
    <w:altName w:val="Arial"/>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F92"/>
    <w:multiLevelType w:val="multilevel"/>
    <w:tmpl w:val="21916F92"/>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66904D0"/>
    <w:multiLevelType w:val="multilevel"/>
    <w:tmpl w:val="666904D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A4E5BB0"/>
    <w:multiLevelType w:val="multilevel"/>
    <w:tmpl w:val="7A4E5BB0"/>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BC"/>
    <w:rsid w:val="00003EAD"/>
    <w:rsid w:val="000208AB"/>
    <w:rsid w:val="000444BC"/>
    <w:rsid w:val="00090876"/>
    <w:rsid w:val="00096629"/>
    <w:rsid w:val="00104C82"/>
    <w:rsid w:val="00317583"/>
    <w:rsid w:val="0036577F"/>
    <w:rsid w:val="003D0B0B"/>
    <w:rsid w:val="004541A7"/>
    <w:rsid w:val="0053718C"/>
    <w:rsid w:val="006D011A"/>
    <w:rsid w:val="007B16EA"/>
    <w:rsid w:val="007B39FC"/>
    <w:rsid w:val="007C7054"/>
    <w:rsid w:val="007F2478"/>
    <w:rsid w:val="00876D03"/>
    <w:rsid w:val="00A97D02"/>
    <w:rsid w:val="00C14A86"/>
    <w:rsid w:val="00CD2587"/>
    <w:rsid w:val="00D36964"/>
    <w:rsid w:val="00DA2847"/>
    <w:rsid w:val="00E21070"/>
    <w:rsid w:val="00EA1574"/>
    <w:rsid w:val="00F04043"/>
    <w:rsid w:val="00F56669"/>
    <w:rsid w:val="4CE317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4">
    <w:name w:val="Emphasis"/>
    <w:basedOn w:val="3"/>
    <w:qFormat/>
    <w:uiPriority w:val="20"/>
    <w:rPr>
      <w:i/>
      <w:iCs/>
    </w:rPr>
  </w:style>
  <w:style w:type="character" w:styleId="5">
    <w:name w:val="Strong"/>
    <w:basedOn w:val="3"/>
    <w:qFormat/>
    <w:uiPriority w:val="22"/>
    <w:rPr>
      <w:b/>
      <w:bCs/>
    </w:rPr>
  </w:style>
  <w:style w:type="paragraph" w:customStyle="1" w:styleId="7">
    <w:name w:val="font_7"/>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3169</Words>
  <Characters>18068</Characters>
  <Lines>150</Lines>
  <Paragraphs>42</Paragraphs>
  <TotalTime>218</TotalTime>
  <ScaleCrop>false</ScaleCrop>
  <LinksUpToDate>false</LinksUpToDate>
  <CharactersWithSpaces>21195</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2018-07-19T08:28:00Z</dcterms:created>
  <dc:creator>user</dc:creator>
  <cp:lastModifiedBy>User</cp:lastModifiedBy>
  <cp:lastPrinted>2018-07-23T07:55:00Z</cp:lastPrinted>
  <dcterms:modified xsi:type="dcterms:W3CDTF">2019-08-15T12:48:55Z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1049-11.2.0.8893</vt:lpwstr>
  </property>
</Properties>
</file>